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289C3" w14:textId="77777777" w:rsidR="006D6390" w:rsidRPr="009620E2" w:rsidRDefault="006D6390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bookmarkStart w:id="0" w:name="_GoBack"/>
      <w:bookmarkEnd w:id="0"/>
      <w:r w:rsidRPr="009620E2">
        <w:rPr>
          <w:rFonts w:ascii="Arial" w:eastAsia="Times New Roman" w:hAnsi="Arial" w:cs="Arial"/>
          <w:b/>
          <w:bCs/>
          <w:lang w:eastAsia="tr-TR"/>
        </w:rPr>
        <w:t>1. Toplam Gösterge Dozu Değeri İstenen İçme Suyu Örnekleri</w:t>
      </w:r>
      <w:r w:rsidR="00E37F27" w:rsidRPr="009620E2">
        <w:rPr>
          <w:rFonts w:ascii="Arial" w:eastAsia="Times New Roman" w:hAnsi="Arial" w:cs="Arial"/>
          <w:b/>
          <w:bCs/>
          <w:lang w:eastAsia="tr-TR"/>
        </w:rPr>
        <w:t>*</w:t>
      </w:r>
    </w:p>
    <w:p w14:paraId="5A5BB642" w14:textId="77777777" w:rsidR="00C96C82" w:rsidRPr="009620E2" w:rsidRDefault="00C96C82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Toplam gösterge dozu, örnek içindeki, toplam alfa/beta aktivite </w:t>
      </w:r>
      <w:proofErr w:type="gramStart"/>
      <w:r w:rsidRPr="009620E2">
        <w:rPr>
          <w:rFonts w:ascii="Arial" w:eastAsia="Times New Roman" w:hAnsi="Arial" w:cs="Arial"/>
          <w:lang w:eastAsia="tr-TR"/>
        </w:rPr>
        <w:t>konsantrasyonlarının</w:t>
      </w:r>
      <w:proofErr w:type="gramEnd"/>
      <w:r w:rsidRPr="009620E2">
        <w:rPr>
          <w:rFonts w:ascii="Arial" w:eastAsia="Times New Roman" w:hAnsi="Arial" w:cs="Arial"/>
          <w:lang w:eastAsia="tr-TR"/>
        </w:rPr>
        <w:t xml:space="preserve"> sonuçlarına göre hesaplanır.</w:t>
      </w:r>
    </w:p>
    <w:p w14:paraId="0B6BF991" w14:textId="77777777" w:rsidR="006D6390" w:rsidRPr="009620E2" w:rsidRDefault="00F96633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bookmarkStart w:id="1" w:name="1.3"/>
      <w:bookmarkEnd w:id="1"/>
      <w:r w:rsidRPr="009620E2">
        <w:rPr>
          <w:rFonts w:ascii="Arial" w:eastAsia="Times New Roman" w:hAnsi="Arial" w:cs="Arial"/>
          <w:b/>
          <w:lang w:eastAsia="tr-TR"/>
        </w:rPr>
        <w:t>2</w:t>
      </w:r>
      <w:r w:rsidR="006D6390" w:rsidRPr="009620E2">
        <w:rPr>
          <w:rFonts w:ascii="Arial" w:eastAsia="Times New Roman" w:hAnsi="Arial" w:cs="Arial"/>
          <w:b/>
          <w:lang w:eastAsia="tr-TR"/>
        </w:rPr>
        <w:t>.</w:t>
      </w:r>
      <w:r w:rsidR="006D6390" w:rsidRPr="009620E2">
        <w:rPr>
          <w:rFonts w:ascii="Arial" w:eastAsia="Times New Roman" w:hAnsi="Arial" w:cs="Arial"/>
          <w:lang w:eastAsia="tr-TR"/>
        </w:rPr>
        <w:t>   </w:t>
      </w:r>
      <w:r w:rsidR="006D6390" w:rsidRPr="009620E2">
        <w:rPr>
          <w:rFonts w:ascii="Arial" w:eastAsia="Times New Roman" w:hAnsi="Arial" w:cs="Arial"/>
          <w:b/>
          <w:bCs/>
          <w:lang w:eastAsia="tr-TR"/>
        </w:rPr>
        <w:t>Toplam Alfa/Beta Analizi İstenen Su Örnekleri*</w:t>
      </w:r>
    </w:p>
    <w:p w14:paraId="4851DF41" w14:textId="77777777"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Toplam alfa/beta analizi istenen su örnekleri en kısa sürede laboratuvara ulaştırılmalıdır. Örneklerin laboratuvara ulaştırılma süresi, örnek alındıktan sonra 5 günü geçecekse, nitrat asidi ile </w:t>
      </w:r>
      <w:proofErr w:type="spellStart"/>
      <w:r w:rsidRPr="009620E2">
        <w:rPr>
          <w:rFonts w:ascii="Arial" w:eastAsia="Times New Roman" w:hAnsi="Arial" w:cs="Arial"/>
          <w:lang w:eastAsia="tr-TR"/>
        </w:rPr>
        <w:t>pH</w:t>
      </w:r>
      <w:proofErr w:type="spellEnd"/>
      <w:r w:rsidRPr="009620E2">
        <w:rPr>
          <w:rFonts w:ascii="Arial" w:eastAsia="Times New Roman" w:hAnsi="Arial" w:cs="Arial"/>
          <w:lang w:eastAsia="tr-TR"/>
        </w:rPr>
        <w:t xml:space="preserve"> &lt;2 olacak şekilde asitlendirilmelidir. </w:t>
      </w:r>
    </w:p>
    <w:p w14:paraId="07EEA792" w14:textId="77777777"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Ruhsata esas sular ağızları mühürlü olarak, ulaştırılmalıdır.</w:t>
      </w:r>
    </w:p>
    <w:p w14:paraId="699F2F2E" w14:textId="441394B6"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Örnekler alındıktan sonra, en geç 5 gün içerisinde </w:t>
      </w:r>
      <w:r w:rsidR="00BD04E2" w:rsidRPr="00F50D3D">
        <w:rPr>
          <w:rFonts w:ascii="Arial" w:hAnsi="Arial" w:cs="Arial"/>
        </w:rPr>
        <w:t>Teknoloji Geliştirme Ve Nükleer Araştırma Koordinatörlüğü</w:t>
      </w:r>
      <w:r w:rsidR="00BD04E2" w:rsidRPr="00F50D3D">
        <w:rPr>
          <w:rFonts w:ascii="Arial" w:eastAsia="Times New Roman" w:hAnsi="Arial" w:cs="Arial"/>
          <w:lang w:eastAsia="tr-TR"/>
        </w:rPr>
        <w:t>’</w:t>
      </w:r>
      <w:r w:rsidR="00BD04E2">
        <w:rPr>
          <w:rFonts w:ascii="Arial" w:eastAsia="Times New Roman" w:hAnsi="Arial" w:cs="Arial"/>
          <w:lang w:eastAsia="tr-TR"/>
        </w:rPr>
        <w:t>ne</w:t>
      </w:r>
      <w:r w:rsidR="00AD355D">
        <w:rPr>
          <w:rFonts w:ascii="Arial" w:eastAsia="Times New Roman" w:hAnsi="Arial" w:cs="Arial"/>
          <w:lang w:eastAsia="tr-TR"/>
        </w:rPr>
        <w:t>’</w:t>
      </w:r>
      <w:r w:rsidRPr="009620E2">
        <w:rPr>
          <w:rFonts w:ascii="Arial" w:eastAsia="Times New Roman" w:hAnsi="Arial" w:cs="Arial"/>
          <w:lang w:eastAsia="tr-TR"/>
        </w:rPr>
        <w:t xml:space="preserve"> ulaştırılmalıdır.</w:t>
      </w:r>
    </w:p>
    <w:p w14:paraId="1AE1D8D2" w14:textId="77777777"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Örnekler, çift kapaklı PET / Plastik kaplarda, ağzı sıkıca kapatılarak taşınmalıdır.</w:t>
      </w:r>
    </w:p>
    <w:p w14:paraId="6547B359" w14:textId="77777777"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Örnek miktarı, en az </w:t>
      </w:r>
      <w:r w:rsidRPr="009620E2">
        <w:rPr>
          <w:rFonts w:ascii="Arial" w:eastAsia="Times New Roman" w:hAnsi="Arial" w:cs="Arial"/>
          <w:b/>
          <w:lang w:eastAsia="tr-TR"/>
        </w:rPr>
        <w:t>10 litre</w:t>
      </w:r>
      <w:r w:rsidRPr="009620E2">
        <w:rPr>
          <w:rFonts w:ascii="Arial" w:eastAsia="Times New Roman" w:hAnsi="Arial" w:cs="Arial"/>
          <w:lang w:eastAsia="tr-TR"/>
        </w:rPr>
        <w:t xml:space="preserve"> olmalıdır.</w:t>
      </w:r>
    </w:p>
    <w:p w14:paraId="0AB84CFB" w14:textId="77777777"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Analiz sonuçları örnek tesliminden, </w:t>
      </w:r>
      <w:r w:rsidRPr="009620E2">
        <w:rPr>
          <w:rFonts w:ascii="Arial" w:eastAsia="Times New Roman" w:hAnsi="Arial" w:cs="Arial"/>
          <w:b/>
          <w:bCs/>
          <w:lang w:eastAsia="tr-TR"/>
        </w:rPr>
        <w:t>30 gün</w:t>
      </w:r>
      <w:r w:rsidRPr="009620E2">
        <w:rPr>
          <w:rFonts w:ascii="Arial" w:eastAsia="Times New Roman" w:hAnsi="Arial" w:cs="Arial"/>
          <w:lang w:eastAsia="tr-TR"/>
        </w:rPr>
        <w:t> sonra verilir.</w:t>
      </w:r>
    </w:p>
    <w:p w14:paraId="5B6DDF05" w14:textId="6B89A745" w:rsidR="00C947C9" w:rsidRDefault="006D6390" w:rsidP="00A875F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 </w:t>
      </w:r>
      <w:r w:rsidR="00C96C82" w:rsidRPr="009620E2">
        <w:rPr>
          <w:rFonts w:ascii="Arial" w:eastAsia="Times New Roman" w:hAnsi="Arial" w:cs="Arial"/>
          <w:b/>
          <w:bCs/>
          <w:lang w:eastAsia="tr-TR"/>
        </w:rPr>
        <w:t xml:space="preserve">*: Örnek içindeki, </w:t>
      </w:r>
      <w:r w:rsidR="00C96C82" w:rsidRPr="009620E2">
        <w:rPr>
          <w:rFonts w:ascii="Arial" w:eastAsia="Times New Roman" w:hAnsi="Arial" w:cs="Arial"/>
          <w:lang w:eastAsia="tr-TR"/>
        </w:rPr>
        <w:t xml:space="preserve">Toplam alfa/beta aktivite </w:t>
      </w:r>
      <w:proofErr w:type="gramStart"/>
      <w:r w:rsidR="00C96C82" w:rsidRPr="009620E2">
        <w:rPr>
          <w:rFonts w:ascii="Arial" w:eastAsia="Times New Roman" w:hAnsi="Arial" w:cs="Arial"/>
          <w:lang w:eastAsia="tr-TR"/>
        </w:rPr>
        <w:t>konsantrasyonlarından</w:t>
      </w:r>
      <w:proofErr w:type="gramEnd"/>
      <w:r w:rsidR="00C96C82" w:rsidRPr="009620E2">
        <w:rPr>
          <w:rFonts w:ascii="Arial" w:eastAsia="Times New Roman" w:hAnsi="Arial" w:cs="Arial"/>
          <w:lang w:eastAsia="tr-TR"/>
        </w:rPr>
        <w:t xml:space="preserve"> herhangi birisinin veya ikisinin de, müsaade edilen sınır </w:t>
      </w:r>
      <w:r w:rsidR="006A2C2C" w:rsidRPr="009620E2">
        <w:rPr>
          <w:rFonts w:ascii="Arial" w:eastAsia="Times New Roman" w:hAnsi="Arial" w:cs="Arial"/>
          <w:lang w:eastAsia="tr-TR"/>
        </w:rPr>
        <w:t>değerleri</w:t>
      </w:r>
      <w:r w:rsidR="00C96C82" w:rsidRPr="009620E2">
        <w:rPr>
          <w:rFonts w:ascii="Arial" w:eastAsia="Times New Roman" w:hAnsi="Arial" w:cs="Arial"/>
          <w:lang w:eastAsia="tr-TR"/>
        </w:rPr>
        <w:t xml:space="preserve"> geçmesi durumunda, “Toplam Gösterge Dozu”</w:t>
      </w:r>
      <w:r w:rsidR="00AD355D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C96C82" w:rsidRPr="009620E2">
        <w:rPr>
          <w:rFonts w:ascii="Arial" w:eastAsia="Times New Roman" w:hAnsi="Arial" w:cs="Arial"/>
          <w:lang w:eastAsia="tr-TR"/>
        </w:rPr>
        <w:t>nun</w:t>
      </w:r>
      <w:proofErr w:type="spellEnd"/>
      <w:r w:rsidR="00C96C82" w:rsidRPr="009620E2">
        <w:rPr>
          <w:rFonts w:ascii="Arial" w:eastAsia="Times New Roman" w:hAnsi="Arial" w:cs="Arial"/>
          <w:lang w:eastAsia="tr-TR"/>
        </w:rPr>
        <w:t xml:space="preserve"> hesaplanabilmesi için ileri analizler yapılır. Bu durumda,</w:t>
      </w:r>
      <w:r w:rsidR="00AD355D">
        <w:rPr>
          <w:rFonts w:ascii="Arial" w:eastAsia="Times New Roman" w:hAnsi="Arial" w:cs="Arial"/>
          <w:lang w:eastAsia="tr-TR"/>
        </w:rPr>
        <w:t xml:space="preserve"> ileri analiz raporunun teslim süresi, ileri analiz başvurunun, TAB laboratuvarına gelmesinden sonra, 30 gündür. </w:t>
      </w:r>
    </w:p>
    <w:tbl>
      <w:tblPr>
        <w:tblW w:w="9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4753"/>
      </w:tblGrid>
      <w:tr w:rsidR="00B26B89" w:rsidRPr="009620E2" w14:paraId="2340DE00" w14:textId="77777777" w:rsidTr="00B26B89">
        <w:trPr>
          <w:trHeight w:val="397"/>
        </w:trPr>
        <w:tc>
          <w:tcPr>
            <w:tcW w:w="9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DA77" w14:textId="77777777" w:rsidR="00B26B89" w:rsidRPr="009A65AA" w:rsidRDefault="00B26B89" w:rsidP="00B26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9A65AA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TS EN ISO/IEC 17025 STANDARDINA GÖRE AKREDİTASYON KAPSAMI</w:t>
            </w:r>
          </w:p>
        </w:tc>
      </w:tr>
      <w:tr w:rsidR="009620E2" w:rsidRPr="009620E2" w14:paraId="08E4D8A4" w14:textId="77777777" w:rsidTr="00B26B89">
        <w:trPr>
          <w:trHeight w:val="397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16684" w14:textId="77777777" w:rsidR="009620E2" w:rsidRPr="009620E2" w:rsidRDefault="009620E2" w:rsidP="00B26B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620E2">
              <w:rPr>
                <w:rFonts w:ascii="Arial" w:eastAsia="Times New Roman" w:hAnsi="Arial" w:cs="Arial"/>
                <w:b/>
                <w:bCs/>
                <w:lang w:eastAsia="tr-TR"/>
              </w:rPr>
              <w:t>ANALİZ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6987E" w14:textId="77777777" w:rsidR="009620E2" w:rsidRPr="009620E2" w:rsidRDefault="009620E2" w:rsidP="00B26B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620E2">
              <w:rPr>
                <w:rFonts w:ascii="Arial" w:eastAsia="Times New Roman" w:hAnsi="Arial" w:cs="Arial"/>
                <w:b/>
                <w:bCs/>
                <w:lang w:eastAsia="tr-TR"/>
              </w:rPr>
              <w:t>YÖNTEM</w:t>
            </w:r>
          </w:p>
        </w:tc>
      </w:tr>
      <w:tr w:rsidR="009620E2" w:rsidRPr="009620E2" w14:paraId="640EDCAB" w14:textId="77777777" w:rsidTr="00B26B89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CE44" w14:textId="77777777" w:rsidR="009620E2" w:rsidRPr="009620E2" w:rsidRDefault="00B26B89" w:rsidP="00B26B8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İçme s</w:t>
            </w:r>
            <w:r w:rsidRPr="00B26B89">
              <w:rPr>
                <w:rFonts w:ascii="Arial" w:hAnsi="Arial" w:cs="Arial"/>
              </w:rPr>
              <w:t>uyunda</w:t>
            </w:r>
            <w:r w:rsidR="009620E2" w:rsidRPr="009620E2">
              <w:rPr>
                <w:rFonts w:ascii="Arial" w:hAnsi="Arial" w:cs="Arial"/>
              </w:rPr>
              <w:t xml:space="preserve"> </w:t>
            </w:r>
            <w:r w:rsidRPr="009620E2">
              <w:rPr>
                <w:rFonts w:ascii="Arial" w:hAnsi="Arial" w:cs="Arial"/>
              </w:rPr>
              <w:t>toplam alfa-toplam beta radyoaktivite analizi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D382" w14:textId="77777777" w:rsidR="009620E2" w:rsidRPr="009620E2" w:rsidRDefault="009620E2" w:rsidP="00B26B8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620E2">
              <w:rPr>
                <w:rFonts w:ascii="Arial" w:hAnsi="Arial" w:cs="Arial"/>
              </w:rPr>
              <w:t xml:space="preserve">EPA </w:t>
            </w:r>
            <w:proofErr w:type="gramStart"/>
            <w:r w:rsidRPr="009620E2">
              <w:rPr>
                <w:rFonts w:ascii="Arial" w:hAnsi="Arial" w:cs="Arial"/>
              </w:rPr>
              <w:t>900.0</w:t>
            </w:r>
            <w:proofErr w:type="gramEnd"/>
            <w:r w:rsidRPr="009620E2">
              <w:rPr>
                <w:rFonts w:ascii="Arial" w:hAnsi="Arial" w:cs="Arial"/>
              </w:rPr>
              <w:t xml:space="preserve"> (</w:t>
            </w:r>
            <w:r w:rsidRPr="009620E2">
              <w:rPr>
                <w:rFonts w:ascii="Arial" w:hAnsi="Arial" w:cs="Arial"/>
                <w:lang w:val="en-US"/>
              </w:rPr>
              <w:t>Prescribed Procedures for Measurement</w:t>
            </w:r>
            <w:r>
              <w:rPr>
                <w:rFonts w:ascii="Arial" w:hAnsi="Arial" w:cs="Arial"/>
                <w:lang w:val="en-US"/>
              </w:rPr>
              <w:t xml:space="preserve"> o</w:t>
            </w:r>
            <w:r w:rsidRPr="009620E2">
              <w:rPr>
                <w:rFonts w:ascii="Arial" w:hAnsi="Arial" w:cs="Arial"/>
                <w:lang w:val="en-US"/>
              </w:rPr>
              <w:t>f Radioactivity in Drinking Water)</w:t>
            </w:r>
          </w:p>
        </w:tc>
      </w:tr>
    </w:tbl>
    <w:p w14:paraId="29348009" w14:textId="77777777" w:rsidR="009620E2" w:rsidRDefault="009620E2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p w14:paraId="5E20B308" w14:textId="77777777"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14:paraId="27812AFA" w14:textId="77777777"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9C3A8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14:paraId="215A6FF8" w14:textId="77777777"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14:paraId="25864AF2" w14:textId="77777777"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14:paraId="2BF5F531" w14:textId="77777777" w:rsidR="0031633C" w:rsidRDefault="00F15023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7" w:history="1">
        <w:r w:rsidR="00BD04E2" w:rsidRPr="00993D10">
          <w:rPr>
            <w:rStyle w:val="Kpr"/>
            <w:rFonts w:ascii="Arial" w:hAnsi="Arial" w:cs="Arial"/>
          </w:rPr>
          <w:t>hko@tenmak.gov.tr</w:t>
        </w:r>
      </w:hyperlink>
    </w:p>
    <w:p w14:paraId="15CC1306" w14:textId="77777777" w:rsidR="0031633C" w:rsidRP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sectPr w:rsidR="0031633C" w:rsidRPr="0031633C" w:rsidSect="00F96633">
      <w:head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0C48C" w14:textId="77777777" w:rsidR="00F15023" w:rsidRDefault="00F15023" w:rsidP="00492BAB">
      <w:pPr>
        <w:spacing w:after="0" w:line="240" w:lineRule="auto"/>
      </w:pPr>
      <w:r>
        <w:separator/>
      </w:r>
    </w:p>
  </w:endnote>
  <w:endnote w:type="continuationSeparator" w:id="0">
    <w:p w14:paraId="2387316E" w14:textId="77777777" w:rsidR="00F15023" w:rsidRDefault="00F15023" w:rsidP="004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85E1" w14:textId="77777777" w:rsidR="00F15023" w:rsidRDefault="00F15023" w:rsidP="00492BAB">
      <w:pPr>
        <w:spacing w:after="0" w:line="240" w:lineRule="auto"/>
      </w:pPr>
      <w:r>
        <w:separator/>
      </w:r>
    </w:p>
  </w:footnote>
  <w:footnote w:type="continuationSeparator" w:id="0">
    <w:p w14:paraId="290697B8" w14:textId="77777777" w:rsidR="00F15023" w:rsidRDefault="00F15023" w:rsidP="004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492BAB" w:rsidRPr="008A46BF" w14:paraId="59B3FE20" w14:textId="77777777" w:rsidTr="00FE29F6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F6D7CC" w14:textId="77777777" w:rsidR="00C311F7" w:rsidRPr="00C311F7" w:rsidRDefault="00C311F7" w:rsidP="00C311F7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F0EA1F" wp14:editId="7E5290FB">
                <wp:simplePos x="0" y="0"/>
                <wp:positionH relativeFrom="margin">
                  <wp:posOffset>-59690</wp:posOffset>
                </wp:positionH>
                <wp:positionV relativeFrom="margin">
                  <wp:posOffset>81280</wp:posOffset>
                </wp:positionV>
                <wp:extent cx="720090" cy="971550"/>
                <wp:effectExtent l="0" t="0" r="3810" b="0"/>
                <wp:wrapSquare wrapText="bothSides"/>
                <wp:docPr id="1" name="Resim 1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TÜRKİYE ENERJİ,  NÜKLEER VE MADEN</w:t>
          </w:r>
        </w:p>
        <w:p w14:paraId="68C1739D" w14:textId="77777777" w:rsidR="00C311F7" w:rsidRPr="00C311F7" w:rsidRDefault="00C311F7" w:rsidP="00C311F7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ARAŞTIRMA KURUMU</w:t>
          </w:r>
        </w:p>
        <w:p w14:paraId="607D4B50" w14:textId="77777777" w:rsidR="00C311F7" w:rsidRPr="00C311F7" w:rsidRDefault="00C311F7" w:rsidP="00C311F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NÜKLEER ENERJİ ARAŞTIRMA ENSTİTÜSÜ</w:t>
          </w:r>
        </w:p>
        <w:p w14:paraId="41BF30E0" w14:textId="77777777" w:rsidR="00C311F7" w:rsidRPr="00C311F7" w:rsidRDefault="00C311F7" w:rsidP="00C311F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TEKNOLOJİ GELİŞTİRME VE NÜKLEER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ARAŞTIRMA    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KOORDİNATÖRLÜĞÜ</w:t>
          </w:r>
          <w:proofErr w:type="gramEnd"/>
        </w:p>
        <w:p w14:paraId="5EC2E208" w14:textId="77777777" w:rsidR="00C311F7" w:rsidRPr="00C311F7" w:rsidRDefault="00C311F7" w:rsidP="00C311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</w:pP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proofErr w:type="spell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Yarımburgaz</w:t>
          </w:r>
          <w:proofErr w:type="spell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Mah</w:t>
          </w:r>
          <w:proofErr w:type="gram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.,</w:t>
          </w:r>
          <w:proofErr w:type="gram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Nükleer Araştırma Merkezi Yolu, No: 10, 34303 Küçükçekmece/İSTANBUL</w:t>
          </w:r>
        </w:p>
        <w:p w14:paraId="756632E1" w14:textId="77777777" w:rsidR="00C311F7" w:rsidRPr="00C311F7" w:rsidRDefault="00C311F7" w:rsidP="00C311F7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               </w:t>
          </w:r>
          <w:r w:rsidRPr="00C311F7"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Tel: +90 (212) 4732600 Faks: +90 (212) 4732634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3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www.tenmak.gov.tr</w:t>
            </w:r>
          </w:hyperlink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4"/>
              <w:szCs w:val="24"/>
              <w:lang w:eastAsia="tr-TR"/>
            </w:rPr>
            <w:t>,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4" w:history="1">
            <w:r w:rsidR="00312599" w:rsidRPr="00993D10">
              <w:rPr>
                <w:rStyle w:val="Kpr"/>
                <w:rFonts w:ascii="Calibri Light" w:eastAsia="Times New Roman" w:hAnsi="Calibri Light" w:cs="Times New Roman"/>
                <w:b/>
                <w:bCs/>
                <w:iCs/>
                <w:sz w:val="16"/>
                <w:szCs w:val="16"/>
                <w:lang w:eastAsia="tr-TR"/>
              </w:rPr>
              <w:t>hko@tenmak.gov.tr</w:t>
            </w:r>
          </w:hyperlink>
        </w:p>
        <w:p w14:paraId="6CBAEA1B" w14:textId="77777777" w:rsidR="00492BAB" w:rsidRPr="00492BAB" w:rsidRDefault="00492BAB" w:rsidP="00CC7544">
          <w:pPr>
            <w:pStyle w:val="AralkYok"/>
            <w:rPr>
              <w:noProof/>
            </w:rPr>
          </w:pPr>
        </w:p>
      </w:tc>
    </w:tr>
  </w:tbl>
  <w:p w14:paraId="6928F640" w14:textId="77777777" w:rsidR="00492BAB" w:rsidRDefault="00492B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CF"/>
    <w:multiLevelType w:val="multilevel"/>
    <w:tmpl w:val="F26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302"/>
    <w:multiLevelType w:val="multilevel"/>
    <w:tmpl w:val="A9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645"/>
    <w:multiLevelType w:val="multilevel"/>
    <w:tmpl w:val="7C8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70BE6"/>
    <w:multiLevelType w:val="multilevel"/>
    <w:tmpl w:val="3A264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C2885"/>
    <w:rsid w:val="001203F8"/>
    <w:rsid w:val="00167D67"/>
    <w:rsid w:val="00180940"/>
    <w:rsid w:val="00207C79"/>
    <w:rsid w:val="00215E76"/>
    <w:rsid w:val="002A3519"/>
    <w:rsid w:val="00312599"/>
    <w:rsid w:val="0031633C"/>
    <w:rsid w:val="0035292E"/>
    <w:rsid w:val="00366759"/>
    <w:rsid w:val="003D0E44"/>
    <w:rsid w:val="00453C92"/>
    <w:rsid w:val="00481BC2"/>
    <w:rsid w:val="00492BAB"/>
    <w:rsid w:val="005327FD"/>
    <w:rsid w:val="006A2C2C"/>
    <w:rsid w:val="006D5D68"/>
    <w:rsid w:val="006D6390"/>
    <w:rsid w:val="00775F6C"/>
    <w:rsid w:val="007F4A9E"/>
    <w:rsid w:val="00863B96"/>
    <w:rsid w:val="008D2617"/>
    <w:rsid w:val="009412E0"/>
    <w:rsid w:val="009620E2"/>
    <w:rsid w:val="009A65AA"/>
    <w:rsid w:val="009C3A89"/>
    <w:rsid w:val="00A50972"/>
    <w:rsid w:val="00A86F15"/>
    <w:rsid w:val="00A875F3"/>
    <w:rsid w:val="00A90AB1"/>
    <w:rsid w:val="00AB2F50"/>
    <w:rsid w:val="00AD355D"/>
    <w:rsid w:val="00B26B89"/>
    <w:rsid w:val="00B85739"/>
    <w:rsid w:val="00BD04E2"/>
    <w:rsid w:val="00C311F7"/>
    <w:rsid w:val="00C60F48"/>
    <w:rsid w:val="00C947C9"/>
    <w:rsid w:val="00C96C82"/>
    <w:rsid w:val="00CC7544"/>
    <w:rsid w:val="00D2278B"/>
    <w:rsid w:val="00D91F6B"/>
    <w:rsid w:val="00DF1BAA"/>
    <w:rsid w:val="00E37F27"/>
    <w:rsid w:val="00F05D7A"/>
    <w:rsid w:val="00F15023"/>
    <w:rsid w:val="00F16283"/>
    <w:rsid w:val="00F549A8"/>
    <w:rsid w:val="00F9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1CD43"/>
  <w15:docId w15:val="{35AAA158-7C2B-42B7-82A4-E773FD7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9"/>
  </w:style>
  <w:style w:type="paragraph" w:styleId="Balk2">
    <w:name w:val="heading 2"/>
    <w:basedOn w:val="Normal"/>
    <w:link w:val="Balk2Char"/>
    <w:uiPriority w:val="9"/>
    <w:qFormat/>
    <w:rsid w:val="00F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6390"/>
    <w:rPr>
      <w:b/>
      <w:bCs/>
    </w:rPr>
  </w:style>
  <w:style w:type="character" w:styleId="Kpr">
    <w:name w:val="Hyperlink"/>
    <w:basedOn w:val="VarsaylanParagrafYazTipi"/>
    <w:uiPriority w:val="99"/>
    <w:unhideWhenUsed/>
    <w:rsid w:val="006D639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2C2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966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63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92BAB"/>
  </w:style>
  <w:style w:type="paragraph" w:styleId="Altbilgi">
    <w:name w:val="footer"/>
    <w:basedOn w:val="Normal"/>
    <w:link w:val="AltbilgiChar"/>
    <w:uiPriority w:val="99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BAB"/>
  </w:style>
  <w:style w:type="paragraph" w:styleId="AralkYok">
    <w:name w:val="No Spacing"/>
    <w:uiPriority w:val="1"/>
    <w:qFormat/>
    <w:rsid w:val="00CC7544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BD04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D04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D04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D04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D04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o@tenm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mak.gov.tr" TargetMode="External"/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hko@tenm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Hilal Nesibe Haznedaroğlu</dc:creator>
  <cp:lastModifiedBy>Asiye Başsarı</cp:lastModifiedBy>
  <cp:revision>2</cp:revision>
  <dcterms:created xsi:type="dcterms:W3CDTF">2021-08-26T13:03:00Z</dcterms:created>
  <dcterms:modified xsi:type="dcterms:W3CDTF">2021-08-26T13:03:00Z</dcterms:modified>
</cp:coreProperties>
</file>